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D7" w:rsidRPr="00E458D7" w:rsidRDefault="00C161FD" w:rsidP="00C161FD">
      <w:pPr>
        <w:pStyle w:val="a5"/>
        <w:rPr>
          <w:rFonts w:ascii="Times New Roman" w:hAnsi="Times New Roman" w:cs="Times New Roman"/>
          <w:sz w:val="28"/>
          <w:szCs w:val="28"/>
        </w:rPr>
      </w:pPr>
      <w:bookmarkStart w:id="0" w:name="sub_575"/>
      <w:r w:rsidRPr="00E458D7">
        <w:rPr>
          <w:rStyle w:val="a3"/>
          <w:rFonts w:ascii="Times New Roman" w:hAnsi="Times New Roman" w:cs="Times New Roman"/>
          <w:bCs/>
          <w:sz w:val="28"/>
          <w:szCs w:val="28"/>
        </w:rPr>
        <w:t>Статья 575</w:t>
      </w:r>
      <w:r w:rsidR="00E458D7" w:rsidRPr="00E458D7">
        <w:rPr>
          <w:rStyle w:val="a3"/>
          <w:rFonts w:ascii="Times New Roman" w:hAnsi="Times New Roman" w:cs="Times New Roman"/>
          <w:bCs/>
          <w:sz w:val="28"/>
          <w:szCs w:val="28"/>
        </w:rPr>
        <w:t xml:space="preserve"> ГК РФ</w:t>
      </w:r>
      <w:r w:rsidRPr="00E458D7">
        <w:rPr>
          <w:rFonts w:ascii="Times New Roman" w:hAnsi="Times New Roman" w:cs="Times New Roman"/>
          <w:sz w:val="28"/>
          <w:szCs w:val="28"/>
        </w:rPr>
        <w:t xml:space="preserve"> </w:t>
      </w:r>
    </w:p>
    <w:p w:rsidR="00E458D7" w:rsidRDefault="00E458D7" w:rsidP="00E458D7">
      <w:pPr>
        <w:pStyle w:val="a5"/>
        <w:rPr>
          <w:rFonts w:ascii="Times New Roman" w:hAnsi="Times New Roman" w:cs="Times New Roman"/>
          <w:b/>
          <w:sz w:val="28"/>
          <w:szCs w:val="28"/>
        </w:rPr>
      </w:pPr>
    </w:p>
    <w:p w:rsidR="00C161FD" w:rsidRPr="00E458D7" w:rsidRDefault="00C161FD" w:rsidP="00E458D7">
      <w:pPr>
        <w:pStyle w:val="a5"/>
        <w:rPr>
          <w:rFonts w:ascii="Times New Roman" w:hAnsi="Times New Roman" w:cs="Times New Roman"/>
          <w:b/>
          <w:sz w:val="28"/>
          <w:szCs w:val="28"/>
        </w:rPr>
      </w:pPr>
      <w:r w:rsidRPr="00C161FD">
        <w:rPr>
          <w:rFonts w:ascii="Times New Roman" w:hAnsi="Times New Roman" w:cs="Times New Roman"/>
          <w:b/>
          <w:sz w:val="28"/>
          <w:szCs w:val="28"/>
        </w:rPr>
        <w:t>Запрещение дарения</w:t>
      </w:r>
    </w:p>
    <w:p w:rsidR="00C161FD" w:rsidRPr="00C161FD" w:rsidRDefault="00C161FD" w:rsidP="00C161FD">
      <w:pPr>
        <w:rPr>
          <w:rFonts w:ascii="Times New Roman" w:hAnsi="Times New Roman" w:cs="Times New Roman"/>
          <w:sz w:val="28"/>
          <w:szCs w:val="28"/>
        </w:rPr>
      </w:pPr>
      <w:bookmarkStart w:id="1" w:name="sub_57501"/>
      <w:bookmarkEnd w:id="0"/>
      <w:r w:rsidRPr="00C161FD">
        <w:rPr>
          <w:rFonts w:ascii="Times New Roman" w:hAnsi="Times New Roman" w:cs="Times New Roman"/>
          <w:sz w:val="28"/>
          <w:szCs w:val="28"/>
        </w:rPr>
        <w:t>1. Не допускается дарение, за исключением обычных подарков, стоимость которых не превышает трех тысяч рублей:</w:t>
      </w:r>
    </w:p>
    <w:p w:rsidR="00C161FD" w:rsidRPr="00C161FD" w:rsidRDefault="00C161FD" w:rsidP="00C161FD">
      <w:pPr>
        <w:rPr>
          <w:rFonts w:ascii="Times New Roman" w:hAnsi="Times New Roman" w:cs="Times New Roman"/>
          <w:sz w:val="28"/>
          <w:szCs w:val="28"/>
        </w:rPr>
      </w:pPr>
      <w:bookmarkStart w:id="2" w:name="sub_5751"/>
      <w:bookmarkEnd w:id="1"/>
      <w:r w:rsidRPr="00C161FD">
        <w:rPr>
          <w:rFonts w:ascii="Times New Roman" w:hAnsi="Times New Roman" w:cs="Times New Roman"/>
          <w:sz w:val="28"/>
          <w:szCs w:val="28"/>
        </w:rPr>
        <w:t>1) от имени малолетних и граждан, признанных недееспособными, их законными представителями;</w:t>
      </w:r>
    </w:p>
    <w:p w:rsidR="00C161FD" w:rsidRPr="00C161FD" w:rsidRDefault="00C161FD" w:rsidP="00C161FD">
      <w:pPr>
        <w:rPr>
          <w:rFonts w:ascii="Times New Roman" w:hAnsi="Times New Roman" w:cs="Times New Roman"/>
          <w:sz w:val="28"/>
          <w:szCs w:val="28"/>
        </w:rPr>
      </w:pPr>
      <w:bookmarkStart w:id="3" w:name="sub_5752"/>
      <w:bookmarkEnd w:id="2"/>
      <w:r w:rsidRPr="00C161FD">
        <w:rPr>
          <w:rFonts w:ascii="Times New Roman" w:hAnsi="Times New Roman" w:cs="Times New Roman"/>
          <w:sz w:val="28"/>
          <w:szCs w:val="28"/>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C161FD" w:rsidRPr="00C161FD" w:rsidRDefault="00C161FD" w:rsidP="00C161FD">
      <w:pPr>
        <w:rPr>
          <w:rFonts w:ascii="Times New Roman" w:hAnsi="Times New Roman" w:cs="Times New Roman"/>
          <w:sz w:val="28"/>
          <w:szCs w:val="28"/>
        </w:rPr>
      </w:pPr>
      <w:bookmarkStart w:id="4" w:name="sub_5753"/>
      <w:bookmarkEnd w:id="3"/>
      <w:r w:rsidRPr="00C161FD">
        <w:rPr>
          <w:rFonts w:ascii="Times New Roman" w:hAnsi="Times New Roman" w:cs="Times New Roman"/>
          <w:sz w:val="28"/>
          <w:szCs w:val="28"/>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161FD" w:rsidRPr="00C161FD" w:rsidRDefault="00C161FD" w:rsidP="00C161FD">
      <w:pPr>
        <w:rPr>
          <w:rFonts w:ascii="Times New Roman" w:hAnsi="Times New Roman" w:cs="Times New Roman"/>
          <w:sz w:val="28"/>
          <w:szCs w:val="28"/>
        </w:rPr>
      </w:pPr>
      <w:bookmarkStart w:id="5" w:name="sub_5754"/>
      <w:bookmarkEnd w:id="4"/>
      <w:r w:rsidRPr="00C161FD">
        <w:rPr>
          <w:rFonts w:ascii="Times New Roman" w:hAnsi="Times New Roman" w:cs="Times New Roman"/>
          <w:sz w:val="28"/>
          <w:szCs w:val="28"/>
        </w:rPr>
        <w:t xml:space="preserve">4) в отношениях между </w:t>
      </w:r>
      <w:r w:rsidRPr="00C161FD">
        <w:rPr>
          <w:rStyle w:val="a4"/>
          <w:rFonts w:ascii="Times New Roman" w:hAnsi="Times New Roman"/>
          <w:sz w:val="28"/>
          <w:szCs w:val="28"/>
        </w:rPr>
        <w:t>коммерческими</w:t>
      </w:r>
      <w:r w:rsidRPr="00C161FD">
        <w:rPr>
          <w:rFonts w:ascii="Times New Roman" w:hAnsi="Times New Roman" w:cs="Times New Roman"/>
          <w:sz w:val="28"/>
          <w:szCs w:val="28"/>
        </w:rPr>
        <w:t xml:space="preserve"> организациями.</w:t>
      </w:r>
    </w:p>
    <w:p w:rsidR="00C161FD" w:rsidRPr="00C161FD" w:rsidRDefault="00C161FD" w:rsidP="00C161FD">
      <w:pPr>
        <w:rPr>
          <w:rFonts w:ascii="Times New Roman" w:hAnsi="Times New Roman" w:cs="Times New Roman"/>
          <w:sz w:val="28"/>
          <w:szCs w:val="28"/>
        </w:rPr>
      </w:pPr>
      <w:bookmarkStart w:id="6" w:name="sub_57502"/>
      <w:bookmarkEnd w:id="5"/>
      <w:r w:rsidRPr="00C161FD">
        <w:rPr>
          <w:rFonts w:ascii="Times New Roman" w:hAnsi="Times New Roman" w:cs="Times New Roman"/>
          <w:sz w:val="28"/>
          <w:szCs w:val="28"/>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r w:rsidRPr="00C161FD">
        <w:rPr>
          <w:rStyle w:val="a4"/>
          <w:rFonts w:ascii="Times New Roman" w:hAnsi="Times New Roman"/>
          <w:sz w:val="28"/>
          <w:szCs w:val="28"/>
        </w:rPr>
        <w:t>пунктом 1</w:t>
      </w:r>
      <w:r w:rsidRPr="00C161FD">
        <w:rPr>
          <w:rFonts w:ascii="Times New Roman" w:hAnsi="Times New Roman" w:cs="Times New Roman"/>
          <w:sz w:val="28"/>
          <w:szCs w:val="28"/>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roofErr w:type="gramStart"/>
      <w:r w:rsidRPr="00C161FD">
        <w:rPr>
          <w:rFonts w:ascii="Times New Roman" w:hAnsi="Times New Roman" w:cs="Times New Roman"/>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bookmarkEnd w:id="6"/>
    <w:p w:rsidR="00C161FD" w:rsidRDefault="00C161FD" w:rsidP="00C161FD">
      <w:pPr>
        <w:rPr>
          <w:rFonts w:ascii="Times New Roman" w:hAnsi="Times New Roman" w:cs="Times New Roman"/>
          <w:sz w:val="28"/>
          <w:szCs w:val="28"/>
        </w:rPr>
      </w:pPr>
    </w:p>
    <w:p w:rsidR="00E458D7" w:rsidRDefault="00E458D7" w:rsidP="00C161FD">
      <w:pPr>
        <w:rPr>
          <w:rFonts w:ascii="Times New Roman" w:hAnsi="Times New Roman" w:cs="Times New Roman"/>
          <w:sz w:val="28"/>
          <w:szCs w:val="28"/>
        </w:rPr>
      </w:pPr>
    </w:p>
    <w:p w:rsidR="007A75DA" w:rsidRPr="007A75DA" w:rsidRDefault="00E458D7" w:rsidP="00C161FD">
      <w:pPr>
        <w:rPr>
          <w:rFonts w:ascii="Times New Roman" w:hAnsi="Times New Roman" w:cs="Times New Roman"/>
          <w:b/>
          <w:sz w:val="28"/>
          <w:szCs w:val="28"/>
          <w:shd w:val="clear" w:color="auto" w:fill="E6E6E6"/>
        </w:rPr>
      </w:pPr>
      <w:r w:rsidRPr="007A75DA">
        <w:rPr>
          <w:rFonts w:ascii="Times New Roman" w:hAnsi="Times New Roman" w:cs="Times New Roman"/>
          <w:b/>
          <w:sz w:val="28"/>
          <w:szCs w:val="28"/>
          <w:shd w:val="clear" w:color="auto" w:fill="E6E6E6"/>
        </w:rPr>
        <w:lastRenderedPageBreak/>
        <w:t>Комментарий к</w:t>
      </w:r>
      <w:proofErr w:type="gramStart"/>
      <w:r w:rsidRPr="007A75DA">
        <w:rPr>
          <w:rFonts w:ascii="Times New Roman" w:hAnsi="Times New Roman" w:cs="Times New Roman"/>
          <w:b/>
          <w:sz w:val="28"/>
          <w:szCs w:val="28"/>
          <w:shd w:val="clear" w:color="auto" w:fill="E6E6E6"/>
        </w:rPr>
        <w:t xml:space="preserve"> С</w:t>
      </w:r>
      <w:proofErr w:type="gramEnd"/>
      <w:r w:rsidRPr="007A75DA">
        <w:rPr>
          <w:rFonts w:ascii="Times New Roman" w:hAnsi="Times New Roman" w:cs="Times New Roman"/>
          <w:b/>
          <w:sz w:val="28"/>
          <w:szCs w:val="28"/>
          <w:shd w:val="clear" w:color="auto" w:fill="E6E6E6"/>
        </w:rPr>
        <w:t xml:space="preserve">т. 575 ГК РФ </w:t>
      </w:r>
    </w:p>
    <w:p w:rsidR="007A75DA" w:rsidRPr="007A75DA" w:rsidRDefault="00E458D7" w:rsidP="00C161FD">
      <w:pPr>
        <w:rPr>
          <w:rFonts w:ascii="Times New Roman" w:hAnsi="Times New Roman" w:cs="Times New Roman"/>
          <w:shd w:val="clear" w:color="auto" w:fill="E6E6E6"/>
        </w:rPr>
      </w:pPr>
      <w:r w:rsidRPr="007A75DA">
        <w:rPr>
          <w:rFonts w:ascii="Times New Roman" w:hAnsi="Times New Roman" w:cs="Times New Roman"/>
          <w:shd w:val="clear" w:color="auto" w:fill="E6E6E6"/>
        </w:rPr>
        <w:t xml:space="preserve">1. Понятие «обычный подарок» </w:t>
      </w:r>
      <w:proofErr w:type="gramStart"/>
      <w:r w:rsidRPr="007A75DA">
        <w:rPr>
          <w:rFonts w:ascii="Times New Roman" w:hAnsi="Times New Roman" w:cs="Times New Roman"/>
          <w:shd w:val="clear" w:color="auto" w:fill="E6E6E6"/>
        </w:rPr>
        <w:t>определяется</w:t>
      </w:r>
      <w:proofErr w:type="gramEnd"/>
      <w:r w:rsidRPr="007A75DA">
        <w:rPr>
          <w:rFonts w:ascii="Times New Roman" w:hAnsi="Times New Roman" w:cs="Times New Roman"/>
          <w:shd w:val="clear" w:color="auto" w:fill="E6E6E6"/>
        </w:rPr>
        <w:t xml:space="preserve"> прежде всего его стоимостью. Соответственно под это понятие не подходят предметы роскоши, коллекционные изделия, иные дорогостоящие подношения. Кроме того, «обычность» предполагает традиционность обстановки, в которой дарится подарок: как правило, это общепринятая реакция на общепринятый повод — юбилей, успешное завершение определенного этапа жизненного пути, торжественное событие и т.д. Стоимость </w:t>
      </w:r>
      <w:proofErr w:type="gramStart"/>
      <w:r w:rsidRPr="007A75DA">
        <w:rPr>
          <w:rFonts w:ascii="Times New Roman" w:hAnsi="Times New Roman" w:cs="Times New Roman"/>
          <w:shd w:val="clear" w:color="auto" w:fill="E6E6E6"/>
        </w:rPr>
        <w:t>подарка</w:t>
      </w:r>
      <w:proofErr w:type="gramEnd"/>
      <w:r w:rsidRPr="007A75DA">
        <w:rPr>
          <w:rFonts w:ascii="Times New Roman" w:hAnsi="Times New Roman" w:cs="Times New Roman"/>
          <w:shd w:val="clear" w:color="auto" w:fill="E6E6E6"/>
        </w:rPr>
        <w:t xml:space="preserve"> во всяком случае является доминирующей характеристикой при решении вопроса о его допустимости. Даже если подарок отвечает прочим характеристикам «обычного», но его стоимость превышает указанную в законе сумму, дарение запрещается. Действующая редакция комментируемой статьи, сохраняя использование термина «обычный подарок», заменяет ранее применявшийся плавающий критерий значимости такого подарка в виде пяти минимальных </w:t>
      </w:r>
      <w:proofErr w:type="gramStart"/>
      <w:r w:rsidRPr="007A75DA">
        <w:rPr>
          <w:rFonts w:ascii="Times New Roman" w:hAnsi="Times New Roman" w:cs="Times New Roman"/>
          <w:shd w:val="clear" w:color="auto" w:fill="E6E6E6"/>
        </w:rPr>
        <w:t>размеров оплаты труда</w:t>
      </w:r>
      <w:proofErr w:type="gramEnd"/>
      <w:r w:rsidRPr="007A75DA">
        <w:rPr>
          <w:rFonts w:ascii="Times New Roman" w:hAnsi="Times New Roman" w:cs="Times New Roman"/>
          <w:shd w:val="clear" w:color="auto" w:fill="E6E6E6"/>
        </w:rPr>
        <w:t xml:space="preserve"> на фиксированную сумму в 3 тыс. рублей. Это в полной мере находится в контексте общей политики законодателя по отходу от использования МРОТ при исчислении штрафов и иных имеющих юридическое значение размеров денежных сумм. </w:t>
      </w:r>
    </w:p>
    <w:p w:rsidR="00E458D7" w:rsidRPr="007A75DA" w:rsidRDefault="00E458D7" w:rsidP="00C161FD">
      <w:pPr>
        <w:rPr>
          <w:rFonts w:ascii="Times New Roman" w:hAnsi="Times New Roman" w:cs="Times New Roman"/>
        </w:rPr>
      </w:pPr>
      <w:r w:rsidRPr="007A75DA">
        <w:rPr>
          <w:rFonts w:ascii="Times New Roman" w:hAnsi="Times New Roman" w:cs="Times New Roman"/>
          <w:shd w:val="clear" w:color="auto" w:fill="E6E6E6"/>
        </w:rPr>
        <w:t xml:space="preserve">2. </w:t>
      </w:r>
      <w:proofErr w:type="gramStart"/>
      <w:r w:rsidRPr="007A75DA">
        <w:rPr>
          <w:rFonts w:ascii="Times New Roman" w:hAnsi="Times New Roman" w:cs="Times New Roman"/>
          <w:shd w:val="clear" w:color="auto" w:fill="E6E6E6"/>
        </w:rPr>
        <w:t>В соответствии с п. 2 ст. 37 ГК РФ опекун не вправе совершать сделки по отчуждению, в том числе по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roofErr w:type="gramEnd"/>
      <w:r w:rsidRPr="007A75DA">
        <w:rPr>
          <w:rFonts w:ascii="Times New Roman" w:hAnsi="Times New Roman" w:cs="Times New Roman"/>
          <w:shd w:val="clear" w:color="auto" w:fill="E6E6E6"/>
        </w:rPr>
        <w:t>, без предварительного разрешения органа опеки и попечительства. Правило п. 1 комментируемой статьи следует применять с учетом этого положения. Таким образом, совершить обычный подарок только на основании собственного волеизъявления и без какого-либо разрешения могут лишь родители малолетнего от его имени. Дарение имущества малолетних или признанных недееспособными подопечных на сумму свыше 3 тыс. рублей недопустимо даже при наличии согласия органов опеки и попечительства.</w:t>
      </w:r>
    </w:p>
    <w:p w:rsidR="007A75DA" w:rsidRDefault="007A75DA">
      <w:pPr>
        <w:rPr>
          <w:rFonts w:ascii="Times New Roman" w:hAnsi="Times New Roman" w:cs="Times New Roman"/>
          <w:shd w:val="clear" w:color="auto" w:fill="E6E6E6"/>
        </w:rPr>
      </w:pPr>
      <w:r w:rsidRPr="007A75DA">
        <w:rPr>
          <w:rFonts w:ascii="Times New Roman" w:hAnsi="Times New Roman" w:cs="Times New Roman"/>
          <w:shd w:val="clear" w:color="auto" w:fill="E6E6E6"/>
        </w:rPr>
        <w:t xml:space="preserve">3. Федеральным законом от 24 апреля 2008 г. N 49-ФЗ «О внесении изменений в отдельные законодательные акты Российской Федерации в связи с принятием Федерального закона «Об опеке и попечительстве» уточнен перечень организаций, работникам которых запрещено дарить подарки, не подпадающие под понятие обычных. Ранее в комментируемой статье речь шла о лечебных, воспитательных, социальных и аналогичных им учреждениях. Подпункт 2 п. 1 комментируемой статьи призван распространить запрет на дарение на недопустимые, с точки зрения законодателя, ситуации, в которых одаряемые не замещают должности, перечисленные в </w:t>
      </w:r>
      <w:proofErr w:type="spellStart"/>
      <w:r w:rsidRPr="007A75DA">
        <w:rPr>
          <w:rFonts w:ascii="Times New Roman" w:hAnsi="Times New Roman" w:cs="Times New Roman"/>
          <w:shd w:val="clear" w:color="auto" w:fill="E6E6E6"/>
        </w:rPr>
        <w:t>подп</w:t>
      </w:r>
      <w:proofErr w:type="spellEnd"/>
      <w:r w:rsidRPr="007A75DA">
        <w:rPr>
          <w:rFonts w:ascii="Times New Roman" w:hAnsi="Times New Roman" w:cs="Times New Roman"/>
          <w:shd w:val="clear" w:color="auto" w:fill="E6E6E6"/>
        </w:rPr>
        <w:t xml:space="preserve">. 3 этого же пункта. Работники учреждений, перечисленных в </w:t>
      </w:r>
      <w:proofErr w:type="spellStart"/>
      <w:r w:rsidRPr="007A75DA">
        <w:rPr>
          <w:rFonts w:ascii="Times New Roman" w:hAnsi="Times New Roman" w:cs="Times New Roman"/>
          <w:shd w:val="clear" w:color="auto" w:fill="E6E6E6"/>
        </w:rPr>
        <w:t>подп</w:t>
      </w:r>
      <w:proofErr w:type="spellEnd"/>
      <w:r w:rsidRPr="007A75DA">
        <w:rPr>
          <w:rFonts w:ascii="Times New Roman" w:hAnsi="Times New Roman" w:cs="Times New Roman"/>
          <w:shd w:val="clear" w:color="auto" w:fill="E6E6E6"/>
        </w:rPr>
        <w:t xml:space="preserve">. 2, могут являться одновременно государственными или муниципальными служащими, что повлечет распространение на них дополнительных ограничений. </w:t>
      </w:r>
    </w:p>
    <w:p w:rsidR="007A75DA" w:rsidRDefault="007A75DA">
      <w:pPr>
        <w:rPr>
          <w:rFonts w:ascii="Times New Roman" w:hAnsi="Times New Roman" w:cs="Times New Roman"/>
          <w:shd w:val="clear" w:color="auto" w:fill="E6E6E6"/>
        </w:rPr>
      </w:pPr>
      <w:r w:rsidRPr="007A75DA">
        <w:rPr>
          <w:rFonts w:ascii="Times New Roman" w:hAnsi="Times New Roman" w:cs="Times New Roman"/>
          <w:shd w:val="clear" w:color="auto" w:fill="E6E6E6"/>
        </w:rPr>
        <w:t xml:space="preserve">4. В трактовке положений </w:t>
      </w:r>
      <w:proofErr w:type="spellStart"/>
      <w:r w:rsidRPr="007A75DA">
        <w:rPr>
          <w:rFonts w:ascii="Times New Roman" w:hAnsi="Times New Roman" w:cs="Times New Roman"/>
          <w:shd w:val="clear" w:color="auto" w:fill="E6E6E6"/>
        </w:rPr>
        <w:t>подп</w:t>
      </w:r>
      <w:proofErr w:type="spellEnd"/>
      <w:r w:rsidRPr="007A75DA">
        <w:rPr>
          <w:rFonts w:ascii="Times New Roman" w:hAnsi="Times New Roman" w:cs="Times New Roman"/>
          <w:shd w:val="clear" w:color="auto" w:fill="E6E6E6"/>
        </w:rPr>
        <w:t xml:space="preserve">. 3 п. 1 комментируемой статьи можно встретить неоправданные крайности. Иногда они </w:t>
      </w:r>
      <w:proofErr w:type="gramStart"/>
      <w:r w:rsidRPr="007A75DA">
        <w:rPr>
          <w:rFonts w:ascii="Times New Roman" w:hAnsi="Times New Roman" w:cs="Times New Roman"/>
          <w:shd w:val="clear" w:color="auto" w:fill="E6E6E6"/>
        </w:rPr>
        <w:t>рассматриваются</w:t>
      </w:r>
      <w:proofErr w:type="gramEnd"/>
      <w:r w:rsidRPr="007A75DA">
        <w:rPr>
          <w:rFonts w:ascii="Times New Roman" w:hAnsi="Times New Roman" w:cs="Times New Roman"/>
          <w:shd w:val="clear" w:color="auto" w:fill="E6E6E6"/>
        </w:rPr>
        <w:t xml:space="preserve"> как позволяющие чиновникам получать подарки в связи с их должностным положением и служебной деятельностью вне зависимости от подоплеки такого подарка, лишь бы стоимость последнего не превышала установленного данной нормой размера. </w:t>
      </w:r>
      <w:proofErr w:type="gramStart"/>
      <w:r w:rsidRPr="007A75DA">
        <w:rPr>
          <w:rFonts w:ascii="Times New Roman" w:hAnsi="Times New Roman" w:cs="Times New Roman"/>
          <w:shd w:val="clear" w:color="auto" w:fill="E6E6E6"/>
        </w:rPr>
        <w:t>С другой стороны, существует точка зрения «ястребов», призывающих запретить лицам, занимающим названные должности в системе государственной и муниципальной службы, принимать вообще какие бы то ни было подарки от посторонних, включая обычные подарки ко дню рождения, памятным событиям и т.д., поскольку такой одаряемый всегда и всеми посторонними лицами воспринимается без отрыва от своего должностного положения.</w:t>
      </w:r>
      <w:proofErr w:type="gramEnd"/>
      <w:r w:rsidRPr="007A75DA">
        <w:rPr>
          <w:rFonts w:ascii="Times New Roman" w:hAnsi="Times New Roman" w:cs="Times New Roman"/>
          <w:shd w:val="clear" w:color="auto" w:fill="E6E6E6"/>
        </w:rPr>
        <w:t xml:space="preserve"> </w:t>
      </w:r>
      <w:proofErr w:type="gramStart"/>
      <w:r w:rsidRPr="007A75DA">
        <w:rPr>
          <w:rFonts w:ascii="Times New Roman" w:hAnsi="Times New Roman" w:cs="Times New Roman"/>
          <w:shd w:val="clear" w:color="auto" w:fill="E6E6E6"/>
        </w:rPr>
        <w:t xml:space="preserve">Достаточно ортодоксальную позицию занимают и международные организации по борьбе с коррупцией, с которыми Российская Федерация сотрудничает в рамках своих конвенционных обязательств (например, ГРЕКО — группа государств по борьбе с коррупцией, в которой Россия состоит в силу своего присоединения к Конвенции Совета Европы об уголовной ответственности </w:t>
      </w:r>
      <w:r w:rsidRPr="007A75DA">
        <w:rPr>
          <w:rFonts w:ascii="Times New Roman" w:hAnsi="Times New Roman" w:cs="Times New Roman"/>
          <w:shd w:val="clear" w:color="auto" w:fill="E6E6E6"/>
        </w:rPr>
        <w:lastRenderedPageBreak/>
        <w:t>за коррупцию от 27 января 1999 г.).</w:t>
      </w:r>
      <w:proofErr w:type="gramEnd"/>
      <w:r w:rsidRPr="007A75DA">
        <w:rPr>
          <w:rFonts w:ascii="Times New Roman" w:hAnsi="Times New Roman" w:cs="Times New Roman"/>
          <w:shd w:val="clear" w:color="auto" w:fill="E6E6E6"/>
        </w:rPr>
        <w:t xml:space="preserve"> По их мнению, наличие в гражданском законодательстве стран — участниц данной Конвенции подобной «лазейки» провоцирует коррупционные факты, завуалированные под </w:t>
      </w:r>
      <w:proofErr w:type="spellStart"/>
      <w:r w:rsidRPr="007A75DA">
        <w:rPr>
          <w:rFonts w:ascii="Times New Roman" w:hAnsi="Times New Roman" w:cs="Times New Roman"/>
          <w:shd w:val="clear" w:color="auto" w:fill="E6E6E6"/>
        </w:rPr>
        <w:t>одарение</w:t>
      </w:r>
      <w:proofErr w:type="spellEnd"/>
      <w:r w:rsidRPr="007A75DA">
        <w:rPr>
          <w:rFonts w:ascii="Times New Roman" w:hAnsi="Times New Roman" w:cs="Times New Roman"/>
          <w:shd w:val="clear" w:color="auto" w:fill="E6E6E6"/>
        </w:rPr>
        <w:t xml:space="preserve"> подарками. </w:t>
      </w:r>
    </w:p>
    <w:p w:rsidR="007A75DA" w:rsidRDefault="007A75DA">
      <w:pPr>
        <w:rPr>
          <w:rFonts w:ascii="Times New Roman" w:hAnsi="Times New Roman" w:cs="Times New Roman"/>
          <w:shd w:val="clear" w:color="auto" w:fill="E6E6E6"/>
        </w:rPr>
      </w:pPr>
      <w:r w:rsidRPr="007A75DA">
        <w:rPr>
          <w:rFonts w:ascii="Times New Roman" w:hAnsi="Times New Roman" w:cs="Times New Roman"/>
          <w:shd w:val="clear" w:color="auto" w:fill="E6E6E6"/>
        </w:rPr>
        <w:t xml:space="preserve">5. Представляется, что новая редакция комментируемой статьи, установившая в п. 2 правила, определяющие судьбу «протокольных» подарков на сумму свыше 3 тыс. рублей, внесла в эти дискуссии определенную ясность. Во-первых, из текста указанного пункта явно следует, что запрет на дарение специальным субъектам не распространяется на ситуации, связанные с «официальными» поводами. Такие сделки не могут трактоваться как ничтожные, и действия дарителей не должны вызывать сомнение в части их правомерности. Во-вторых, текстуальное и логическое толкование п. 2 комментируемой статьи дает основания считать, что полученные по таким «официальным» поводам подарки стоимостью менее 3 тыс. рублей служащий вправе сохранить за собой. Применяя такую же логику, нельзя не признать допустимость дарения служащим обычных подарков посторонними лицами (в частности, коллегами по работе, знакомыми в связи с личными памятными датами, общегосударственными праздниками и т.д.), когда из смысла подарка явно следует отсутствие его взаимосвязи с </w:t>
      </w:r>
      <w:proofErr w:type="gramStart"/>
      <w:r w:rsidRPr="007A75DA">
        <w:rPr>
          <w:rFonts w:ascii="Times New Roman" w:hAnsi="Times New Roman" w:cs="Times New Roman"/>
          <w:shd w:val="clear" w:color="auto" w:fill="E6E6E6"/>
        </w:rPr>
        <w:t>выполнением</w:t>
      </w:r>
      <w:proofErr w:type="gramEnd"/>
      <w:r w:rsidRPr="007A75DA">
        <w:rPr>
          <w:rFonts w:ascii="Times New Roman" w:hAnsi="Times New Roman" w:cs="Times New Roman"/>
          <w:shd w:val="clear" w:color="auto" w:fill="E6E6E6"/>
        </w:rPr>
        <w:t xml:space="preserve"> одаряемым каких-либо служебных обязанностей. Это справедливо, во всяком </w:t>
      </w:r>
      <w:proofErr w:type="gramStart"/>
      <w:r w:rsidRPr="007A75DA">
        <w:rPr>
          <w:rFonts w:ascii="Times New Roman" w:hAnsi="Times New Roman" w:cs="Times New Roman"/>
          <w:shd w:val="clear" w:color="auto" w:fill="E6E6E6"/>
        </w:rPr>
        <w:t>случае</w:t>
      </w:r>
      <w:proofErr w:type="gramEnd"/>
      <w:r w:rsidRPr="007A75DA">
        <w:rPr>
          <w:rFonts w:ascii="Times New Roman" w:hAnsi="Times New Roman" w:cs="Times New Roman"/>
          <w:shd w:val="clear" w:color="auto" w:fill="E6E6E6"/>
        </w:rPr>
        <w:t xml:space="preserve"> для подарков стоимостью менее 3 тыс. рублей. Не вызывает сомнений также необходимость разграничивать понятия подарка и официального награждения работника его руководством, регулируемого ст. 191 Трудового кодекса РФ, ст. 55 Федерального закона «О государственной гражданской службе Российской Федерации» и другими нормативными актами. Последнее, даже в случае превышения стоимости подарка-награды 3 тыс. рублей, в полной мере соответствует закону. Впрочем, на этом ясность, внесенная в ситуацию новой редакцией комментируемой статьи, пожалуй, заканчивается. В силу такого же текстуального толкования закона установленный п. 1 комментируемой статьи запрет дарения должен считаться не распространяющимся только на дарителей. В случае превышения стоимостью подарка установленного рубежа чиновник, получивший подарок, все равно не может приобрести на него права собственности, даже если подарок и был вручен ему по официальному поводу. Существенно изменены лишь последствия такой невозможности. Если ранее договор дарения на сумму, превышающую установленную ГК РФ, должен был квалифицироваться в таком случае как ничтожный, то теперь он повлечет правовые последствия в виде возникновения права государственной или муниципальной собственности на подарок. </w:t>
      </w:r>
    </w:p>
    <w:p w:rsidR="007A75DA" w:rsidRDefault="007A75DA">
      <w:pPr>
        <w:rPr>
          <w:rFonts w:ascii="Times New Roman" w:hAnsi="Times New Roman" w:cs="Times New Roman"/>
          <w:shd w:val="clear" w:color="auto" w:fill="E6E6E6"/>
        </w:rPr>
      </w:pPr>
      <w:r w:rsidRPr="007A75DA">
        <w:rPr>
          <w:rFonts w:ascii="Times New Roman" w:hAnsi="Times New Roman" w:cs="Times New Roman"/>
          <w:shd w:val="clear" w:color="auto" w:fill="E6E6E6"/>
        </w:rPr>
        <w:t xml:space="preserve">6. Массу вопросов вызывает терминология п. 2, в частности понятие «официальный повод». До настоящего времени не определен порядок передачи дорогостоящих подарков в государственную или муниципальную собственность. Все эти вопросы призваны быть урегулированными на уровне подзаконного акта, разработка которого в настоящее время ведется. С другой стороны, категорически недопустимо считать правомерным поощрение любыми подарками (даже незначительной стоимости) должностных лиц в связи с осуществлением ими своих должностных обязанностей при оказании государственной услуги — вне зависимости от того, осуществлены ли они в соответствии с законом или с нарушением закона. В соответствии с Общими принципами служебного поведения государственных служащих, утвержденными Указом Президента РФ от 12 августа 2002 г. N 885 &lt;1&gt;, государственные служащие призваны не </w:t>
      </w:r>
      <w:proofErr w:type="gramStart"/>
      <w:r w:rsidRPr="007A75DA">
        <w:rPr>
          <w:rFonts w:ascii="Times New Roman" w:hAnsi="Times New Roman" w:cs="Times New Roman"/>
          <w:shd w:val="clear" w:color="auto" w:fill="E6E6E6"/>
        </w:rPr>
        <w:t>оказывать</w:t>
      </w:r>
      <w:proofErr w:type="gramEnd"/>
      <w:r w:rsidRPr="007A75DA">
        <w:rPr>
          <w:rFonts w:ascii="Times New Roman" w:hAnsi="Times New Roman" w:cs="Times New Roman"/>
          <w:shd w:val="clear" w:color="auto" w:fill="E6E6E6"/>
        </w:rPr>
        <w:t xml:space="preserve"> предпочтение каким-либо профессиональным или социальным группам и организациям, быть независимыми от влияния со стороны граждан, профессиональных или социальных групп и организаций;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 воздерживаться от поведения, которое могло бы вызвать сомнение в объективном исполнении ими должностных (служебных) обязанностей. ——————————— &lt;1&gt; Собрание законодательства РФ. 2002. N 33. Ст. 3196; 2007. N 13. Ст. 1531. Статья 290 УК РФ рассматривает в качестве взятки любое имущество или выгоды имущественного характера, </w:t>
      </w:r>
      <w:r w:rsidRPr="007A75DA">
        <w:rPr>
          <w:rFonts w:ascii="Times New Roman" w:hAnsi="Times New Roman" w:cs="Times New Roman"/>
          <w:shd w:val="clear" w:color="auto" w:fill="E6E6E6"/>
        </w:rPr>
        <w:lastRenderedPageBreak/>
        <w:t xml:space="preserve">полученные должностным лицом за соответствующие действия (бездействие) в пользу взяткодателя. На оценку действий должностного лица может повлиять разве что п. 2 ст. 14 УК РФ, исключающий уголовную ответственность за малозначительные действия, однако такая оценка производится в каждом конкретном случае и не ориентирована на фиксированные размеры вознаграждения. Поскольку гражданское законодательство не может вторгаться в сферу публично-правового регулирования, отменять или изменять существующие в нем запреты и ограничения, комментируемая статья не носит специального характера по отношению к нормам, устанавливающим особый порядок осуществления полномочий в сфере государственной и муниципальной службы. Любые сделки, прямо или косвенно направленные на вознаграждение служащих за действия, входящие в круг их служебных обязанностей, либо за так называемое общее благоприятствование по службе, ничтожны независимо от их размера. </w:t>
      </w:r>
    </w:p>
    <w:p w:rsidR="00C14AFA" w:rsidRPr="007A75DA" w:rsidRDefault="007A75DA">
      <w:pPr>
        <w:rPr>
          <w:rFonts w:ascii="Times New Roman" w:hAnsi="Times New Roman" w:cs="Times New Roman"/>
        </w:rPr>
      </w:pPr>
      <w:r w:rsidRPr="007A75DA">
        <w:rPr>
          <w:rFonts w:ascii="Times New Roman" w:hAnsi="Times New Roman" w:cs="Times New Roman"/>
          <w:shd w:val="clear" w:color="auto" w:fill="E6E6E6"/>
        </w:rPr>
        <w:t xml:space="preserve">7. Норма, запрещающая дарение в отношениях между коммерческими организациями, вполне оправданна в условиях рыночной экономики, поскольку позволяет пресекать различного рода финансовые махинации и злоупотребления в хозяйственной сфере. В то же время вполне допустимо безвозмездное предоставление предпринимателями имущества некоммерческим юридическим лицам, отдельным гражданам или целым категориям потребителей как в виде подарков, так и посредством установления льготных условий оплаты товаров, работ, услуг, освобождения от отдельных обязанностей и т.д. Особое значение с усложнением рыночных отношений приобрел оборот имущественных прав. Отсутствие условий о </w:t>
      </w:r>
      <w:proofErr w:type="spellStart"/>
      <w:r w:rsidRPr="007A75DA">
        <w:rPr>
          <w:rFonts w:ascii="Times New Roman" w:hAnsi="Times New Roman" w:cs="Times New Roman"/>
          <w:shd w:val="clear" w:color="auto" w:fill="E6E6E6"/>
        </w:rPr>
        <w:t>возмездности</w:t>
      </w:r>
      <w:proofErr w:type="spellEnd"/>
      <w:r w:rsidRPr="007A75DA">
        <w:rPr>
          <w:rFonts w:ascii="Times New Roman" w:hAnsi="Times New Roman" w:cs="Times New Roman"/>
          <w:shd w:val="clear" w:color="auto" w:fill="E6E6E6"/>
        </w:rPr>
        <w:t xml:space="preserve"> предоставления имущества в виде уступки права требования, принятия на себя долга, прощения долга, освобождения от обязанности непосредственно в соответствующих соглашениях между хозяйствующими субъектами далеко не всегда свидетельствует об отсутствии встречного предоставления от другой стороны. Такие договоры должны квалифицироваться как договоры дарения только в случае, когда может быть опровергнута презумпция их </w:t>
      </w:r>
      <w:proofErr w:type="spellStart"/>
      <w:r w:rsidRPr="007A75DA">
        <w:rPr>
          <w:rFonts w:ascii="Times New Roman" w:hAnsi="Times New Roman" w:cs="Times New Roman"/>
          <w:shd w:val="clear" w:color="auto" w:fill="E6E6E6"/>
        </w:rPr>
        <w:t>возмездности</w:t>
      </w:r>
      <w:proofErr w:type="spellEnd"/>
      <w:r w:rsidRPr="007A75DA">
        <w:rPr>
          <w:rFonts w:ascii="Times New Roman" w:hAnsi="Times New Roman" w:cs="Times New Roman"/>
          <w:shd w:val="clear" w:color="auto" w:fill="E6E6E6"/>
        </w:rPr>
        <w:t xml:space="preserve"> (п. 3 ст. 423 ГК). </w:t>
      </w:r>
      <w:proofErr w:type="gramStart"/>
      <w:r w:rsidRPr="007A75DA">
        <w:rPr>
          <w:rFonts w:ascii="Times New Roman" w:hAnsi="Times New Roman" w:cs="Times New Roman"/>
          <w:shd w:val="clear" w:color="auto" w:fill="E6E6E6"/>
        </w:rPr>
        <w:t>Отнюдь не всякое прощение долга, освобождение от обязанности в иной форме следует квалифицировать как дарение, признаком которого всегда выступает намерение дарителя создать имущественную выгоду в хозяйственной сфере одаряемого, не обусловленную встречным предоставлением.</w:t>
      </w:r>
      <w:proofErr w:type="gramEnd"/>
      <w:r w:rsidRPr="007A75DA">
        <w:rPr>
          <w:rFonts w:ascii="Times New Roman" w:hAnsi="Times New Roman" w:cs="Times New Roman"/>
          <w:shd w:val="clear" w:color="auto" w:fill="E6E6E6"/>
        </w:rPr>
        <w:t xml:space="preserve"> В качестве прагматичного мотива уступки права требования могут выступать включение ее в схему взаимозачетов, отступного, экономия собственных средств и т.д. Если коммерческая организация сумеет подтвердить, что ее действия были обусловлены иным экономическим интересом, то основания усматривать в сделке признаки дарения отпадут. Такая позиция после достаточно долгого периода противоречивости судебных решений возобладала и в арбитражной практике. В п. 9 информационного письма Президиума ВАС РФ от 30 октября 2007 г. N 120 &lt;1&gt; говорится, что соглашение об уступке права (требования), заключенное между коммерческими организациями, может быть квалифицировано как дарение только в том случае, если будет установлено намерение сторон на безвозмездную передачу права (требования). Отсутствие в сделке уступки права (требования) условия о цене передаваемого права (требования) само по себе не является основанием для признания ее ничтожной как сделки дарения между коммерческими организациями. По мнению Президиума ВАС РФ, судам следует учитывать положения п. 3 ст. 423 ГК РФ, в силу которого договор предполагается возмездным, если из закона, иных правовых актов, содержания или существа договора не вытекает иное. Квалификация соглашения об уступке права (требования) как договора дарения возможна лишь при установлении намерения безвозмездно передать право (требование). Отсутствие в оцениваемом соглашении условия о цене передаваемого права (требования) само по себе не свидетельствует о дарении соответствующего права (требования). ——————————— &lt;1&gt; Вестник ВАС РФ. 2008. N 1. Вопрос о </w:t>
      </w:r>
      <w:proofErr w:type="gramStart"/>
      <w:r w:rsidRPr="007A75DA">
        <w:rPr>
          <w:rFonts w:ascii="Times New Roman" w:hAnsi="Times New Roman" w:cs="Times New Roman"/>
          <w:shd w:val="clear" w:color="auto" w:fill="E6E6E6"/>
        </w:rPr>
        <w:t>скрытой</w:t>
      </w:r>
      <w:proofErr w:type="gramEnd"/>
      <w:r w:rsidRPr="007A75DA">
        <w:rPr>
          <w:rFonts w:ascii="Times New Roman" w:hAnsi="Times New Roman" w:cs="Times New Roman"/>
          <w:shd w:val="clear" w:color="auto" w:fill="E6E6E6"/>
        </w:rPr>
        <w:t xml:space="preserve"> </w:t>
      </w:r>
      <w:proofErr w:type="spellStart"/>
      <w:r w:rsidRPr="007A75DA">
        <w:rPr>
          <w:rFonts w:ascii="Times New Roman" w:hAnsi="Times New Roman" w:cs="Times New Roman"/>
          <w:shd w:val="clear" w:color="auto" w:fill="E6E6E6"/>
        </w:rPr>
        <w:t>возмездности</w:t>
      </w:r>
      <w:proofErr w:type="spellEnd"/>
      <w:r w:rsidRPr="007A75DA">
        <w:rPr>
          <w:rFonts w:ascii="Times New Roman" w:hAnsi="Times New Roman" w:cs="Times New Roman"/>
          <w:shd w:val="clear" w:color="auto" w:fill="E6E6E6"/>
        </w:rPr>
        <w:t xml:space="preserve"> предоставления должен решаться в каждом конкретном случае с исследованием фактических взаимоотношений субъектов и обстоятельств заключения договора. Недопустимо в отношениях между коммерческими организациями заранее оговоренное освобождение контрагента от оплаты по договорам, которые ГК РФ определяет исключительно </w:t>
      </w:r>
      <w:r w:rsidRPr="007A75DA">
        <w:rPr>
          <w:rFonts w:ascii="Times New Roman" w:hAnsi="Times New Roman" w:cs="Times New Roman"/>
          <w:shd w:val="clear" w:color="auto" w:fill="E6E6E6"/>
        </w:rPr>
        <w:lastRenderedPageBreak/>
        <w:t xml:space="preserve">как возмездные (например, договоры кредита и складского хранения). </w:t>
      </w:r>
      <w:proofErr w:type="gramStart"/>
      <w:r w:rsidRPr="007A75DA">
        <w:rPr>
          <w:rFonts w:ascii="Times New Roman" w:hAnsi="Times New Roman" w:cs="Times New Roman"/>
          <w:shd w:val="clear" w:color="auto" w:fill="E6E6E6"/>
        </w:rPr>
        <w:t>В случае получения юридическим лицом имущества безвозмездно от дарителя (физического или юридического лица), владеющего более чем 50% уставного (складочного) капитала одаряемой организации, либо от дарителя — юридического лица, в уставном (складочном) капитале которого более 50% принадлежит одаряемому, а также в предусмотренных законом случаях получения организацией безвозмездной помощи полученные доходы не учитываются при исчислении налоговой базы (ст. 251 НК).</w:t>
      </w:r>
      <w:proofErr w:type="gramEnd"/>
      <w:r w:rsidRPr="007A75DA">
        <w:rPr>
          <w:rFonts w:ascii="Times New Roman" w:hAnsi="Times New Roman" w:cs="Times New Roman"/>
          <w:shd w:val="clear" w:color="auto" w:fill="E6E6E6"/>
        </w:rPr>
        <w:t xml:space="preserve"> Во всех остальных случаях имущество, работы, услуги и имущественные права, приобретенные налогоплательщиками — юридическими лицами безвозмездно, рассматриваются налоговыми органами как </w:t>
      </w:r>
      <w:proofErr w:type="spellStart"/>
      <w:r w:rsidRPr="007A75DA">
        <w:rPr>
          <w:rFonts w:ascii="Times New Roman" w:hAnsi="Times New Roman" w:cs="Times New Roman"/>
          <w:shd w:val="clear" w:color="auto" w:fill="E6E6E6"/>
        </w:rPr>
        <w:t>внереализационные</w:t>
      </w:r>
      <w:proofErr w:type="spellEnd"/>
      <w:r w:rsidRPr="007A75DA">
        <w:rPr>
          <w:rFonts w:ascii="Times New Roman" w:hAnsi="Times New Roman" w:cs="Times New Roman"/>
          <w:shd w:val="clear" w:color="auto" w:fill="E6E6E6"/>
        </w:rPr>
        <w:t xml:space="preserve"> доходы.</w:t>
      </w:r>
      <w:r w:rsidRPr="007A75DA">
        <w:rPr>
          <w:rFonts w:ascii="Times New Roman" w:hAnsi="Times New Roman" w:cs="Times New Roman"/>
        </w:rPr>
        <w:br/>
      </w:r>
      <w:r w:rsidRPr="007A75DA">
        <w:rPr>
          <w:rFonts w:ascii="Times New Roman" w:hAnsi="Times New Roman" w:cs="Times New Roman"/>
        </w:rPr>
        <w:br/>
      </w:r>
      <w:r w:rsidRPr="007A75DA">
        <w:rPr>
          <w:rFonts w:ascii="Times New Roman" w:hAnsi="Times New Roman" w:cs="Times New Roman"/>
          <w:shd w:val="clear" w:color="auto" w:fill="E6E6E6"/>
        </w:rPr>
        <w:t>Источник: </w:t>
      </w:r>
      <w:hyperlink r:id="rId4" w:history="1">
        <w:r w:rsidRPr="007A75DA">
          <w:rPr>
            <w:rStyle w:val="a6"/>
            <w:rFonts w:ascii="Times New Roman" w:hAnsi="Times New Roman" w:cs="Times New Roman"/>
            <w:color w:val="auto"/>
            <w:bdr w:val="none" w:sz="0" w:space="0" w:color="auto" w:frame="1"/>
            <w:shd w:val="clear" w:color="auto" w:fill="E6E6E6"/>
          </w:rPr>
          <w:t>http://stgkrf.ru/575</w:t>
        </w:r>
      </w:hyperlink>
    </w:p>
    <w:sectPr w:rsidR="00C14AFA" w:rsidRPr="007A75DA" w:rsidSect="001C5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08"/>
  <w:characterSpacingControl w:val="doNotCompress"/>
  <w:compat>
    <w:useFELayout/>
  </w:compat>
  <w:rsids>
    <w:rsidRoot w:val="00C161FD"/>
    <w:rsid w:val="001C58F5"/>
    <w:rsid w:val="007A75DA"/>
    <w:rsid w:val="00B16789"/>
    <w:rsid w:val="00C14AFA"/>
    <w:rsid w:val="00C161FD"/>
    <w:rsid w:val="00E45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161FD"/>
    <w:rPr>
      <w:b/>
      <w:color w:val="26282F"/>
    </w:rPr>
  </w:style>
  <w:style w:type="character" w:customStyle="1" w:styleId="a4">
    <w:name w:val="Гипертекстовая ссылка"/>
    <w:basedOn w:val="a3"/>
    <w:uiPriority w:val="99"/>
    <w:rsid w:val="00C161FD"/>
    <w:rPr>
      <w:rFonts w:cs="Times New Roman"/>
      <w:color w:val="106BBE"/>
    </w:rPr>
  </w:style>
  <w:style w:type="paragraph" w:customStyle="1" w:styleId="a5">
    <w:name w:val="Заголовок статьи"/>
    <w:basedOn w:val="a"/>
    <w:next w:val="a"/>
    <w:uiPriority w:val="99"/>
    <w:rsid w:val="00C161FD"/>
    <w:pPr>
      <w:widowControl w:val="0"/>
      <w:autoSpaceDE w:val="0"/>
      <w:autoSpaceDN w:val="0"/>
      <w:adjustRightInd w:val="0"/>
      <w:spacing w:after="0" w:line="240" w:lineRule="auto"/>
      <w:ind w:left="1612" w:hanging="892"/>
      <w:jc w:val="both"/>
    </w:pPr>
    <w:rPr>
      <w:rFonts w:ascii="Times New Roman CYR" w:hAnsi="Times New Roman CYR" w:cs="Times New Roman CYR"/>
      <w:sz w:val="24"/>
      <w:szCs w:val="24"/>
    </w:rPr>
  </w:style>
  <w:style w:type="character" w:styleId="a6">
    <w:name w:val="Hyperlink"/>
    <w:basedOn w:val="a0"/>
    <w:uiPriority w:val="99"/>
    <w:semiHidden/>
    <w:unhideWhenUsed/>
    <w:rsid w:val="00E458D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gkrf.ru/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2021-02-09T08:33:00Z</cp:lastPrinted>
  <dcterms:created xsi:type="dcterms:W3CDTF">2021-02-09T08:24:00Z</dcterms:created>
  <dcterms:modified xsi:type="dcterms:W3CDTF">2021-02-09T08:38:00Z</dcterms:modified>
</cp:coreProperties>
</file>